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72" w:rsidRDefault="007F1F72" w:rsidP="007F1F7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F1F72" w:rsidRDefault="007F1F72" w:rsidP="007F1F72">
      <w:pPr>
        <w:pStyle w:val="ConsPlusNormal"/>
        <w:jc w:val="both"/>
        <w:outlineLvl w:val="0"/>
      </w:pPr>
    </w:p>
    <w:p w:rsidR="007F1F72" w:rsidRDefault="007F1F72" w:rsidP="007F1F72">
      <w:pPr>
        <w:pStyle w:val="ConsPlusNormal"/>
        <w:outlineLvl w:val="0"/>
      </w:pPr>
      <w:r>
        <w:t>Зарегистрировано в Минюсте РФ 25 декабря 2009 г. N 15860</w:t>
      </w:r>
    </w:p>
    <w:p w:rsidR="007F1F72" w:rsidRDefault="007F1F72" w:rsidP="007F1F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F72" w:rsidRDefault="007F1F72" w:rsidP="007F1F72">
      <w:pPr>
        <w:pStyle w:val="ConsPlusNormal"/>
        <w:jc w:val="center"/>
      </w:pPr>
    </w:p>
    <w:p w:rsidR="007F1F72" w:rsidRDefault="007F1F72" w:rsidP="007F1F72">
      <w:pPr>
        <w:pStyle w:val="ConsPlusTitle"/>
        <w:jc w:val="center"/>
      </w:pPr>
      <w:r>
        <w:t>МИНИСТЕРСТВО ТРАНСПОРТА РОССИЙСКОЙ ФЕДЕРАЦИИ</w:t>
      </w:r>
    </w:p>
    <w:p w:rsidR="007F1F72" w:rsidRDefault="007F1F72" w:rsidP="007F1F72">
      <w:pPr>
        <w:pStyle w:val="ConsPlusTitle"/>
        <w:jc w:val="center"/>
      </w:pPr>
    </w:p>
    <w:p w:rsidR="007F1F72" w:rsidRDefault="007F1F72" w:rsidP="007F1F72">
      <w:pPr>
        <w:pStyle w:val="ConsPlusTitle"/>
        <w:jc w:val="center"/>
      </w:pPr>
      <w:r>
        <w:t>ПРИКАЗ</w:t>
      </w:r>
    </w:p>
    <w:p w:rsidR="007F1F72" w:rsidRDefault="007F1F72" w:rsidP="007F1F72">
      <w:pPr>
        <w:pStyle w:val="ConsPlusTitle"/>
        <w:jc w:val="center"/>
      </w:pPr>
      <w:r>
        <w:t>от 27 августа 2009 г. N 150</w:t>
      </w:r>
    </w:p>
    <w:p w:rsidR="007F1F72" w:rsidRDefault="007F1F72" w:rsidP="007F1F72">
      <w:pPr>
        <w:pStyle w:val="ConsPlusTitle"/>
        <w:jc w:val="center"/>
      </w:pPr>
    </w:p>
    <w:p w:rsidR="007F1F72" w:rsidRDefault="007F1F72" w:rsidP="007F1F72">
      <w:pPr>
        <w:pStyle w:val="ConsPlusTitle"/>
        <w:jc w:val="center"/>
      </w:pPr>
      <w:r>
        <w:t>О ПОРЯДКЕ</w:t>
      </w:r>
    </w:p>
    <w:p w:rsidR="007F1F72" w:rsidRDefault="007F1F72" w:rsidP="007F1F72">
      <w:pPr>
        <w:pStyle w:val="ConsPlusTitle"/>
        <w:jc w:val="center"/>
      </w:pPr>
      <w:r>
        <w:t>ПРОВЕДЕНИЯ ОЦЕНКИ ТЕХНИЧЕСКОГО СОСТОЯНИЯ</w:t>
      </w:r>
    </w:p>
    <w:p w:rsidR="007F1F72" w:rsidRDefault="007F1F72" w:rsidP="007F1F72">
      <w:pPr>
        <w:pStyle w:val="ConsPlusTitle"/>
        <w:jc w:val="center"/>
      </w:pPr>
      <w:r>
        <w:t>АВТОМОБИЛЬНЫХ ДОРОГ</w:t>
      </w:r>
    </w:p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пункта 4 статьи 17</w:t>
        </w:r>
      </w:hyperlink>
      <w:r>
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2008, N 20, ст. 2251; </w:t>
      </w:r>
      <w:proofErr w:type="gramStart"/>
      <w:r>
        <w:t xml:space="preserve">N 30 (ч. I), ст. 3597; N 30 (ч. II), ст. 3616; N 49, ст. 5744; 2009, N 29, ст. 6582) и в соответствии с </w:t>
      </w:r>
      <w:hyperlink r:id="rId7" w:history="1">
        <w:r>
          <w:rPr>
            <w:color w:val="0000FF"/>
          </w:rPr>
          <w:t>пунктом 5.2.53.25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</w:t>
      </w:r>
      <w:proofErr w:type="gramEnd"/>
      <w:r>
        <w:t xml:space="preserve"> </w:t>
      </w:r>
      <w:proofErr w:type="gramStart"/>
      <w:r>
        <w:t>2006, N 15, ст. 1612; N 24, ст. 2601; N 52 (ч. III), ст. 5587; 2008, N 8, ст. 740; N 11 (ч. I), ст. 1029; N 17, ст. 1883; N 18, ст. 2060; N 22, ст. 2576; N 42, ст. 4825; N 46, ст. 5337; 2009, N 3, ст. 378;</w:t>
      </w:r>
      <w:proofErr w:type="gramEnd"/>
      <w:r>
        <w:t xml:space="preserve"> </w:t>
      </w:r>
      <w:proofErr w:type="gramStart"/>
      <w:r>
        <w:t>N 4, ст. 506; N 6, ст. 738; N 13, ст. 1558; N 18 (ч. II), ст. 2249; N 32, ст. 4046; N 33, ст. 4088), приказываю:</w:t>
      </w:r>
      <w:proofErr w:type="gramEnd"/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7" w:history="1">
        <w:r>
          <w:rPr>
            <w:color w:val="0000FF"/>
          </w:rPr>
          <w:t>Порядок</w:t>
        </w:r>
      </w:hyperlink>
      <w:r>
        <w:t xml:space="preserve"> проведения оценки технического состояния автомобильных дорог.</w:t>
      </w:r>
    </w:p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7F1F72" w:rsidRDefault="007F1F72" w:rsidP="007F1F72">
      <w:pPr>
        <w:pStyle w:val="ConsPlusNormal"/>
        <w:jc w:val="right"/>
      </w:pPr>
      <w:r>
        <w:t>О.В.БЕЛОЗЕРОВ</w:t>
      </w:r>
    </w:p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Normal"/>
        <w:jc w:val="right"/>
        <w:outlineLvl w:val="0"/>
      </w:pPr>
      <w:r>
        <w:t>Утвержден</w:t>
      </w:r>
    </w:p>
    <w:p w:rsidR="007F1F72" w:rsidRDefault="007F1F72" w:rsidP="007F1F72">
      <w:pPr>
        <w:pStyle w:val="ConsPlusNormal"/>
        <w:jc w:val="right"/>
      </w:pPr>
      <w:r>
        <w:t>Приказом Минтранса России</w:t>
      </w:r>
    </w:p>
    <w:p w:rsidR="007F1F72" w:rsidRDefault="007F1F72" w:rsidP="007F1F72">
      <w:pPr>
        <w:pStyle w:val="ConsPlusNormal"/>
        <w:jc w:val="right"/>
      </w:pPr>
      <w:r>
        <w:t>от 27 августа 2009 г. N 150</w:t>
      </w:r>
    </w:p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Title"/>
        <w:jc w:val="center"/>
      </w:pPr>
      <w:bookmarkStart w:id="0" w:name="P27"/>
      <w:bookmarkEnd w:id="0"/>
      <w:r>
        <w:t>ПОРЯДОК</w:t>
      </w:r>
    </w:p>
    <w:p w:rsidR="007F1F72" w:rsidRDefault="007F1F72" w:rsidP="007F1F72">
      <w:pPr>
        <w:pStyle w:val="ConsPlusTitle"/>
        <w:jc w:val="center"/>
      </w:pPr>
      <w:r>
        <w:t>ПРОВЕДЕНИЯ ОЦЕНКИ ТЕХНИЧЕСКОГО СОСТОЯНИЯ</w:t>
      </w:r>
    </w:p>
    <w:p w:rsidR="007F1F72" w:rsidRDefault="007F1F72" w:rsidP="007F1F72">
      <w:pPr>
        <w:pStyle w:val="ConsPlusTitle"/>
        <w:jc w:val="center"/>
      </w:pPr>
      <w:r>
        <w:t>АВТОМОБИЛЬНЫХ ДОРОГ</w:t>
      </w:r>
    </w:p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Normal"/>
        <w:ind w:firstLine="540"/>
        <w:jc w:val="both"/>
      </w:pPr>
      <w:r>
        <w:t>1. Настоящий Порядок проведения оценки технического состояния автомобильных дорог (далее - Порядок) определяет состав и периодичность работ по определению соответствия комплекса характеристик технического уровня автомобильной дороги и ее эксплуатационного состояния, обеспечивающего требуемые потребительские свойства автомобильной дороги (далее - транспортн</w:t>
      </w:r>
      <w:proofErr w:type="gramStart"/>
      <w:r>
        <w:t>о-</w:t>
      </w:r>
      <w:proofErr w:type="gramEnd"/>
      <w:r>
        <w:t xml:space="preserve"> эксплуатационные характеристики автомобильной дороги), полученного на основании результатов комплекса работ по обследованию, сбору и анализу информации о параметрах, характеристиках и условиях функционирования автомобильной дороги, о наличии </w:t>
      </w:r>
      <w:r>
        <w:lastRenderedPageBreak/>
        <w:t>повреждений ее элементов и причин их появления, о характеристиках транспортных потоков (далее - диагностика), требованиям технических регламентов.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2. Оценка технического состояния автомобильных дорог проводится в отношении всех автомобильных дорог в Российской Федерации независимо от их форм собственности и значения.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3. Оценка технического состояния автомобильных дорог проводится: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в отношении автомобильных дорог общего пользования федерального значения - Федеральным дорожным агентством и (или) находящимися в его ведении федеральными государственными учреждениями;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в отношении автомобильных дорог общего пользования регионального и межмуниципального значения - органом государственной власти субъекта Российской Федерации в области использования автомобильных дорог и осуществления дорожной деятельности и (или) уполномоченным им государственным учреждением;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в отношении автомобильных дорог общего пользования местного значения - органом местного самоуправления в области использования автомобильных дорог и осуществления дорожной деятельности либо уполномоченной им организацией;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в отношении частных автомобильных дорог - физическим или юридическим лицом, являющимся собственником частной автомобильной дороги.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4. Оценка технического состояния автомобильных дорог проводится не реже одного раза в год.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 xml:space="preserve">5. Виды диагностики автомобильных дорог приведены в </w:t>
      </w:r>
      <w:hyperlink w:anchor="P78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 xml:space="preserve">При проведении диагностики автомобильных дорог должны использоваться измерительное оборудование, приборы, передвижные лаборатории, имеющие свидетельство о поверке. Данное оборудование должно быть включено в Государственный реестр средств измерений либо должно быть </w:t>
      </w:r>
      <w:proofErr w:type="spellStart"/>
      <w:r>
        <w:t>метрологически</w:t>
      </w:r>
      <w:proofErr w:type="spellEnd"/>
      <w:r>
        <w:t xml:space="preserve"> аттестованным.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6. В процессе диагностики автомобильных дорог определяются: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ширина проезжей части и земляного полотна;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габарит приближения;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длины прямых, число углов поворотов в плане трассы и величины их радиусов;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протяженность подъемов и спусков;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продольный и поперечный уклоны;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высота насыпи и глубина выемки;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lastRenderedPageBreak/>
        <w:t>габариты искусственных дорожных сооружений;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наличие элементов водоотвода;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наличие элементов обустройства дороги и технических средств организации дорожного движения;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 xml:space="preserve">продольная ровность и </w:t>
      </w:r>
      <w:proofErr w:type="spellStart"/>
      <w:r>
        <w:t>колейность</w:t>
      </w:r>
      <w:proofErr w:type="spellEnd"/>
      <w:r>
        <w:t xml:space="preserve"> дорожного покрытия;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сцепные свойства дорожного покрытия и состояние обочин;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прочность дорожной одежды;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грузоподъемность искусственных дорожных сооружений;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средняя скорость движения транспортного потока;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безопасность и удобство движения транспортного потока;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 xml:space="preserve">пропускная способность и уровень загрузки </w:t>
      </w:r>
      <w:proofErr w:type="gramStart"/>
      <w:r>
        <w:t>автомобильной</w:t>
      </w:r>
      <w:proofErr w:type="gramEnd"/>
      <w:r>
        <w:t xml:space="preserve"> дороги движением;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среднегодовая суточная интенсивность движения и состав транспортного потока;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степень воздействия дороги на окружающую среду.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7. По результатам оценки технического состояния автомобильной дороги: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1) 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</w:p>
    <w:p w:rsidR="007F1F72" w:rsidRDefault="007F1F72" w:rsidP="007F1F72">
      <w:pPr>
        <w:pStyle w:val="ConsPlusNormal"/>
        <w:spacing w:before="220"/>
        <w:ind w:firstLine="540"/>
        <w:jc w:val="both"/>
      </w:pPr>
      <w: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расчетов.</w:t>
      </w:r>
    </w:p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Normal"/>
        <w:jc w:val="right"/>
        <w:outlineLvl w:val="1"/>
      </w:pPr>
      <w:r>
        <w:t>Приложение</w:t>
      </w:r>
    </w:p>
    <w:p w:rsidR="007F1F72" w:rsidRDefault="007F1F72" w:rsidP="007F1F72">
      <w:pPr>
        <w:pStyle w:val="ConsPlusNormal"/>
        <w:jc w:val="right"/>
      </w:pPr>
      <w:r>
        <w:t>к Порядку проведения оценки</w:t>
      </w:r>
    </w:p>
    <w:p w:rsidR="007F1F72" w:rsidRDefault="007F1F72" w:rsidP="007F1F72">
      <w:pPr>
        <w:pStyle w:val="ConsPlusNormal"/>
        <w:jc w:val="right"/>
      </w:pPr>
      <w:r>
        <w:t>технического состояния</w:t>
      </w:r>
    </w:p>
    <w:p w:rsidR="007F1F72" w:rsidRDefault="007F1F72" w:rsidP="007F1F72">
      <w:pPr>
        <w:pStyle w:val="ConsPlusNormal"/>
        <w:jc w:val="right"/>
      </w:pPr>
      <w:r>
        <w:t>автомобильных дорог</w:t>
      </w:r>
    </w:p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Normal"/>
        <w:jc w:val="center"/>
      </w:pPr>
      <w:bookmarkStart w:id="1" w:name="P78"/>
      <w:bookmarkEnd w:id="1"/>
      <w:r>
        <w:t>ВИДЫ ДИАГНОСТИКИ АВТОМОБИЛЬНЫХ ДОРОГ</w:t>
      </w:r>
    </w:p>
    <w:p w:rsidR="007F1F72" w:rsidRDefault="007F1F72" w:rsidP="007F1F7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5"/>
        <w:gridCol w:w="1911"/>
        <w:gridCol w:w="2457"/>
        <w:gridCol w:w="2275"/>
      </w:tblGrid>
      <w:tr w:rsidR="007F1F72" w:rsidTr="00C41614">
        <w:trPr>
          <w:trHeight w:val="227"/>
        </w:trPr>
        <w:tc>
          <w:tcPr>
            <w:tcW w:w="455" w:type="dxa"/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N </w:t>
            </w:r>
          </w:p>
          <w:p w:rsidR="007F1F72" w:rsidRDefault="007F1F72" w:rsidP="00C41614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11" w:type="dxa"/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 Вид диагностики  </w:t>
            </w:r>
          </w:p>
        </w:tc>
        <w:tc>
          <w:tcPr>
            <w:tcW w:w="2457" w:type="dxa"/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     Состав работ       </w:t>
            </w:r>
          </w:p>
        </w:tc>
        <w:tc>
          <w:tcPr>
            <w:tcW w:w="2275" w:type="dxa"/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    Периодичность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проведения диагностики </w:t>
            </w:r>
          </w:p>
        </w:tc>
      </w:tr>
      <w:tr w:rsidR="007F1F72" w:rsidTr="00C41614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911" w:type="dxa"/>
            <w:tcBorders>
              <w:top w:val="nil"/>
            </w:tcBorders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    Первичная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диагностика    </w:t>
            </w:r>
          </w:p>
        </w:tc>
        <w:tc>
          <w:tcPr>
            <w:tcW w:w="2457" w:type="dxa"/>
            <w:tcBorders>
              <w:top w:val="nil"/>
            </w:tcBorders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  Инструментальное и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визуальное обследование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по параметрам, влияющим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 на транспортно-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эксплуатационные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 характеристики 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автомобильных дорог   </w:t>
            </w:r>
          </w:p>
        </w:tc>
        <w:tc>
          <w:tcPr>
            <w:tcW w:w="2275" w:type="dxa"/>
            <w:tcBorders>
              <w:top w:val="nil"/>
            </w:tcBorders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Один раз в 3 - 5 лет  </w:t>
            </w:r>
          </w:p>
        </w:tc>
      </w:tr>
      <w:tr w:rsidR="007F1F72" w:rsidTr="00C41614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1911" w:type="dxa"/>
            <w:tcBorders>
              <w:top w:val="nil"/>
            </w:tcBorders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    Повторная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диагностика    </w:t>
            </w:r>
          </w:p>
        </w:tc>
        <w:tc>
          <w:tcPr>
            <w:tcW w:w="2457" w:type="dxa"/>
            <w:tcBorders>
              <w:top w:val="nil"/>
            </w:tcBorders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  Инструментальное и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визуальное обследование </w:t>
            </w:r>
            <w:proofErr w:type="gramStart"/>
            <w:r>
              <w:t>с</w:t>
            </w:r>
            <w:proofErr w:type="gramEnd"/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выборочным количеством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параметров, влияющих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  транспортно-  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эксплуатационные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 характеристики 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автомобильных дорог   </w:t>
            </w:r>
          </w:p>
        </w:tc>
        <w:tc>
          <w:tcPr>
            <w:tcW w:w="2275" w:type="dxa"/>
            <w:tcBorders>
              <w:top w:val="nil"/>
            </w:tcBorders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   Один раз в год     </w:t>
            </w:r>
          </w:p>
        </w:tc>
      </w:tr>
      <w:tr w:rsidR="007F1F72" w:rsidTr="00C41614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1911" w:type="dxa"/>
            <w:tcBorders>
              <w:top w:val="nil"/>
            </w:tcBorders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   Приемочная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диагностика    </w:t>
            </w:r>
          </w:p>
        </w:tc>
        <w:tc>
          <w:tcPr>
            <w:tcW w:w="2457" w:type="dxa"/>
            <w:tcBorders>
              <w:top w:val="nil"/>
            </w:tcBorders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  Инструментальное и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визуальное обследование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по параметрам, влияющим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 на транспортно-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 эксплуатационные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 характеристики 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автомобильных дорог   </w:t>
            </w:r>
          </w:p>
        </w:tc>
        <w:tc>
          <w:tcPr>
            <w:tcW w:w="2275" w:type="dxa"/>
            <w:tcBorders>
              <w:top w:val="nil"/>
            </w:tcBorders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      При вводе  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автомобильной дороги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(участков дороги)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эксплуатацию после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строительства,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реконструкции или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капитального ремонта  </w:t>
            </w:r>
          </w:p>
        </w:tc>
      </w:tr>
      <w:tr w:rsidR="007F1F72" w:rsidTr="00C41614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1911" w:type="dxa"/>
            <w:tcBorders>
              <w:top w:val="nil"/>
            </w:tcBorders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Специализированная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диагностика    </w:t>
            </w:r>
          </w:p>
        </w:tc>
        <w:tc>
          <w:tcPr>
            <w:tcW w:w="2457" w:type="dxa"/>
            <w:tcBorders>
              <w:top w:val="nil"/>
            </w:tcBorders>
          </w:tcPr>
          <w:p w:rsidR="007F1F72" w:rsidRDefault="007F1F72" w:rsidP="00C41614">
            <w:pPr>
              <w:pStyle w:val="ConsPlusNonformat"/>
              <w:jc w:val="both"/>
            </w:pPr>
            <w:r>
              <w:t xml:space="preserve">        Детальное   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инструментальное и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визуальное обследование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lastRenderedPageBreak/>
              <w:t xml:space="preserve"> автомобильных дорог или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участков автомобильных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дорог по заданному числу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параметров (в случае   </w:t>
            </w:r>
            <w:proofErr w:type="gramEnd"/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 необходимости </w:t>
            </w:r>
            <w:proofErr w:type="gramStart"/>
            <w:r>
              <w:t>с</w:t>
            </w:r>
            <w:proofErr w:type="gramEnd"/>
            <w:r>
              <w:t xml:space="preserve">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использованием элементов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изыскательских работ)  </w:t>
            </w:r>
          </w:p>
        </w:tc>
        <w:tc>
          <w:tcPr>
            <w:tcW w:w="2275" w:type="dxa"/>
            <w:tcBorders>
              <w:top w:val="nil"/>
            </w:tcBorders>
          </w:tcPr>
          <w:p w:rsidR="007F1F72" w:rsidRDefault="007F1F72" w:rsidP="00C41614">
            <w:pPr>
              <w:pStyle w:val="ConsPlusNonformat"/>
              <w:jc w:val="both"/>
            </w:pPr>
            <w:r>
              <w:lastRenderedPageBreak/>
              <w:t xml:space="preserve">    При определении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возможности движения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 транспортного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lastRenderedPageBreak/>
              <w:t xml:space="preserve">       средства,  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осуществляющего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перевозки </w:t>
            </w:r>
            <w:proofErr w:type="gramStart"/>
            <w:r>
              <w:t>тяжеловесных</w:t>
            </w:r>
            <w:proofErr w:type="gramEnd"/>
            <w:r>
              <w:t xml:space="preserve">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    и (или)   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крупногабаритных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   грузов </w:t>
            </w:r>
            <w:proofErr w:type="gramStart"/>
            <w:r>
              <w:t>по</w:t>
            </w:r>
            <w:proofErr w:type="gramEnd"/>
            <w:r>
              <w:t xml:space="preserve">  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автомобильной дороге,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а также в иных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случаях</w:t>
            </w:r>
            <w:proofErr w:type="gramEnd"/>
            <w:r>
              <w:t xml:space="preserve">, когда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необходимо выявление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причин снижения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 параметров и 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 характеристик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     элементов       </w:t>
            </w:r>
          </w:p>
          <w:p w:rsidR="007F1F72" w:rsidRDefault="007F1F72" w:rsidP="00C41614">
            <w:pPr>
              <w:pStyle w:val="ConsPlusNonformat"/>
              <w:jc w:val="both"/>
            </w:pPr>
            <w:r>
              <w:t xml:space="preserve">  автомобильных дорог  </w:t>
            </w:r>
          </w:p>
        </w:tc>
      </w:tr>
    </w:tbl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Normal"/>
        <w:ind w:firstLine="540"/>
        <w:jc w:val="both"/>
      </w:pPr>
    </w:p>
    <w:p w:rsidR="007F1F72" w:rsidRDefault="007F1F72" w:rsidP="007F1F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F72" w:rsidRDefault="007F1F72" w:rsidP="007F1F72"/>
    <w:p w:rsidR="00485DA5" w:rsidRDefault="00485DA5">
      <w:bookmarkStart w:id="2" w:name="_GoBack"/>
      <w:bookmarkEnd w:id="2"/>
    </w:p>
    <w:sectPr w:rsidR="00485DA5" w:rsidSect="00C07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72"/>
    <w:rsid w:val="00485DA5"/>
    <w:rsid w:val="007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7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1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7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1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E6679F82FA329979831379F2D815DEABB989B65E6CBF49FF04798058D96E2E7EA31D82EBDEFA465A10D977D796B5922E1874100B1C7C9EnEU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E6679F82FA329979831379F2D815DEABB88DB45068BF49FF04798058D96E2E7EA31D81E08AAA0B0F168D218DC3BF8C2B0676n1U7T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Сокол</dc:creator>
  <cp:lastModifiedBy>Светлана Анатольевна Сокол</cp:lastModifiedBy>
  <cp:revision>1</cp:revision>
  <dcterms:created xsi:type="dcterms:W3CDTF">2020-07-07T19:20:00Z</dcterms:created>
  <dcterms:modified xsi:type="dcterms:W3CDTF">2020-07-07T19:21:00Z</dcterms:modified>
</cp:coreProperties>
</file>